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A8" w:rsidRPr="001011EB" w:rsidRDefault="00AD72A8" w:rsidP="00AD72A8">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بِسْمِ اللّٰهِ الرَّحْمٰنِ الرَّحِيمِ</w:t>
      </w:r>
    </w:p>
    <w:p w:rsidR="00AD72A8" w:rsidRPr="001011EB" w:rsidRDefault="00AD72A8" w:rsidP="00AD72A8">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وَ بِهِ نَسْتَعِينُ</w:t>
      </w:r>
    </w:p>
    <w:p w:rsidR="00AD72A8" w:rsidRPr="001011EB" w:rsidRDefault="00AD72A8" w:rsidP="009D73D1">
      <w:pPr>
        <w:spacing w:before="120" w:after="0" w:line="240" w:lineRule="auto"/>
        <w:jc w:val="center"/>
        <w:rPr>
          <w:rFonts w:ascii="Calibri" w:hAnsi="Calibri" w:cs="Calibri"/>
          <w:color w:val="0000B0"/>
          <w:sz w:val="28"/>
          <w:szCs w:val="28"/>
        </w:rPr>
      </w:pPr>
      <w:r w:rsidRPr="001011EB">
        <w:rPr>
          <w:rFonts w:ascii="Calibri" w:hAnsi="Calibri" w:cs="Calibri"/>
          <w:color w:val="0000B0"/>
          <w:sz w:val="28"/>
          <w:szCs w:val="28"/>
        </w:rPr>
        <w:t xml:space="preserve">MESNEVİ-İ NURİYE </w:t>
      </w:r>
      <w:r>
        <w:rPr>
          <w:rFonts w:ascii="Calibri" w:hAnsi="Calibri" w:cs="Calibri"/>
          <w:color w:val="0000B0"/>
          <w:sz w:val="28"/>
          <w:szCs w:val="28"/>
        </w:rPr>
        <w:t>51</w:t>
      </w:r>
      <w:r w:rsidR="009D73D1">
        <w:rPr>
          <w:rFonts w:ascii="Calibri" w:hAnsi="Calibri" w:cs="Calibri"/>
          <w:color w:val="0000B0"/>
          <w:sz w:val="28"/>
          <w:szCs w:val="28"/>
        </w:rPr>
        <w:t xml:space="preserve"> ve 52.</w:t>
      </w:r>
      <w:r w:rsidRPr="001011EB">
        <w:rPr>
          <w:rFonts w:ascii="Calibri" w:hAnsi="Calibri" w:cs="Calibri"/>
          <w:color w:val="0000B0"/>
          <w:sz w:val="28"/>
          <w:szCs w:val="28"/>
        </w:rPr>
        <w:t xml:space="preserve"> SAYFA</w:t>
      </w:r>
      <w:r w:rsidR="009D73D1">
        <w:rPr>
          <w:rFonts w:ascii="Calibri" w:hAnsi="Calibri" w:cs="Calibri"/>
          <w:color w:val="0000B0"/>
          <w:sz w:val="28"/>
          <w:szCs w:val="28"/>
        </w:rPr>
        <w:t>LAR</w:t>
      </w:r>
      <w:r w:rsidRPr="001011EB">
        <w:rPr>
          <w:rFonts w:ascii="Calibri" w:hAnsi="Calibri" w:cs="Calibri"/>
          <w:color w:val="0000B0"/>
          <w:sz w:val="28"/>
          <w:szCs w:val="28"/>
        </w:rPr>
        <w:t>IN TAHŞİYESİ</w:t>
      </w:r>
      <w:r w:rsidR="009D73D1">
        <w:rPr>
          <w:rFonts w:ascii="Calibri" w:hAnsi="Calibri" w:cs="Calibri"/>
          <w:color w:val="0000B0"/>
          <w:sz w:val="28"/>
          <w:szCs w:val="28"/>
        </w:rPr>
        <w:t xml:space="preserve"> – Katre’nin Mukaddemesi</w:t>
      </w:r>
    </w:p>
    <w:p w:rsidR="00AD72A8" w:rsidRPr="00AD72A8" w:rsidRDefault="00AD72A8" w:rsidP="00AD72A8">
      <w:pPr>
        <w:spacing w:before="120" w:after="0" w:line="240" w:lineRule="auto"/>
        <w:jc w:val="both"/>
        <w:rPr>
          <w:rFonts w:ascii="Calibri" w:hAnsi="Calibri" w:cs="Calibri"/>
          <w:sz w:val="24"/>
          <w:szCs w:val="24"/>
        </w:rPr>
      </w:pPr>
      <w:r w:rsidRPr="00AD72A8">
        <w:rPr>
          <w:rFonts w:ascii="Calibri" w:hAnsi="Calibri" w:cs="Calibri"/>
          <w:sz w:val="24"/>
          <w:szCs w:val="24"/>
        </w:rPr>
        <w:t>Kırk sene ömrümde, otuz sene tahsilimde yalnız dört kelime ile dört kelâm öğrendim; tafsilen beyan edilecektir. Burada yalnız icmalen işaret edilecektir. Kelimelerden maksad: Mana-yı harfî, mana-yı ismî, niyet, nazardır. Şöyle ki:</w:t>
      </w:r>
    </w:p>
    <w:p w:rsidR="00AD72A8" w:rsidRPr="00AD72A8" w:rsidRDefault="00AD72A8" w:rsidP="00AD72A8">
      <w:pPr>
        <w:spacing w:before="120" w:after="0" w:line="240" w:lineRule="auto"/>
        <w:jc w:val="both"/>
        <w:rPr>
          <w:rFonts w:ascii="Calibri" w:hAnsi="Calibri" w:cs="Calibri"/>
          <w:sz w:val="24"/>
          <w:szCs w:val="24"/>
        </w:rPr>
      </w:pPr>
      <w:r w:rsidRPr="00AD72A8">
        <w:rPr>
          <w:rFonts w:ascii="Calibri" w:hAnsi="Calibri" w:cs="Calibri"/>
          <w:sz w:val="24"/>
          <w:szCs w:val="24"/>
        </w:rPr>
        <w:t>Cenab-ı Hakk'ın masivasına (yani kâinata) mana-yı harfiyle ve Onun hesabına bakmak lâzımdır. Mana-yı ismiyle ve esbab hesabına bakmak hatadır.</w:t>
      </w:r>
      <w:r w:rsidR="002A0A25">
        <w:rPr>
          <w:rStyle w:val="FootnoteReference"/>
          <w:rFonts w:ascii="Calibri" w:hAnsi="Calibri" w:cs="Calibri"/>
          <w:sz w:val="24"/>
          <w:szCs w:val="24"/>
        </w:rPr>
        <w:footnoteReference w:id="2"/>
      </w:r>
    </w:p>
    <w:p w:rsidR="00AD72A8" w:rsidRPr="00AD72A8" w:rsidRDefault="00AD72A8" w:rsidP="00AD72A8">
      <w:pPr>
        <w:spacing w:before="120" w:after="0" w:line="240" w:lineRule="auto"/>
        <w:jc w:val="both"/>
        <w:rPr>
          <w:rFonts w:ascii="Calibri" w:hAnsi="Calibri" w:cs="Calibri"/>
          <w:sz w:val="24"/>
          <w:szCs w:val="24"/>
        </w:rPr>
      </w:pPr>
      <w:r w:rsidRPr="00AD72A8">
        <w:rPr>
          <w:rFonts w:ascii="Calibri" w:hAnsi="Calibri" w:cs="Calibri"/>
          <w:sz w:val="24"/>
          <w:szCs w:val="24"/>
        </w:rPr>
        <w:t>Evet her şeyin iki ciheti vardır. Bir ciheti Hakk'a bakar. Diğer ciheti de halka bakar. Halka bakan cihet, Hakk'a bakan cihete tenteneli bir perde veya şeffaf bir cam parçası gibi, altında Hakk'a bakan cihet-i isnadı gösterecek bir perde gibi olmalıdır. Binaenaleyh nimete bakıldığı zaman Mün'im, san'ata bakıldığı zaman Sâni', esbaba nazar edildiği vakit Müessir-i Hakikî zihne ve fikre gelmelidir.</w:t>
      </w:r>
    </w:p>
    <w:p w:rsidR="00AD72A8" w:rsidRDefault="00AD72A8" w:rsidP="00682816">
      <w:pPr>
        <w:spacing w:before="120" w:after="0" w:line="240" w:lineRule="auto"/>
        <w:jc w:val="both"/>
        <w:rPr>
          <w:rFonts w:ascii="Calibri" w:hAnsi="Calibri" w:cs="Calibri"/>
          <w:sz w:val="24"/>
          <w:szCs w:val="24"/>
        </w:rPr>
      </w:pPr>
      <w:r w:rsidRPr="00AD72A8">
        <w:rPr>
          <w:rFonts w:ascii="Calibri" w:hAnsi="Calibri" w:cs="Calibri"/>
          <w:sz w:val="24"/>
          <w:szCs w:val="24"/>
        </w:rPr>
        <w:t>Ve keza nazar</w:t>
      </w:r>
      <w:r w:rsidR="00682816">
        <w:rPr>
          <w:rStyle w:val="FootnoteReference"/>
          <w:rFonts w:ascii="Calibri" w:hAnsi="Calibri" w:cs="Calibri"/>
          <w:sz w:val="24"/>
          <w:szCs w:val="24"/>
        </w:rPr>
        <w:footnoteReference w:id="3"/>
      </w:r>
      <w:r w:rsidRPr="00AD72A8">
        <w:rPr>
          <w:rFonts w:ascii="Calibri" w:hAnsi="Calibri" w:cs="Calibri"/>
          <w:sz w:val="24"/>
          <w:szCs w:val="24"/>
        </w:rPr>
        <w:t xml:space="preserve"> ile niyet,</w:t>
      </w:r>
      <w:r w:rsidR="00682816">
        <w:rPr>
          <w:rStyle w:val="FootnoteReference"/>
          <w:rFonts w:ascii="Calibri" w:hAnsi="Calibri" w:cs="Calibri"/>
          <w:sz w:val="24"/>
          <w:szCs w:val="24"/>
        </w:rPr>
        <w:footnoteReference w:id="4"/>
      </w:r>
      <w:r w:rsidRPr="00AD72A8">
        <w:rPr>
          <w:rFonts w:ascii="Calibri" w:hAnsi="Calibri" w:cs="Calibri"/>
          <w:sz w:val="24"/>
          <w:szCs w:val="24"/>
        </w:rPr>
        <w:t xml:space="preserve"> mahiyet-i eşyayı tağyir eder. Günahı sevaba, sevabı günaha kalbeder. Evet niyet âdi bir hareketi ibadete çevirir. Ve gösteriş için yapılan bir ibadeti günaha kalbeder.</w:t>
      </w:r>
      <w:r w:rsidR="00682816">
        <w:rPr>
          <w:rStyle w:val="FootnoteReference"/>
          <w:rFonts w:ascii="Calibri" w:hAnsi="Calibri" w:cs="Calibri"/>
          <w:sz w:val="24"/>
          <w:szCs w:val="24"/>
        </w:rPr>
        <w:footnoteReference w:id="5"/>
      </w:r>
      <w:r w:rsidRPr="00AD72A8">
        <w:rPr>
          <w:rFonts w:ascii="Calibri" w:hAnsi="Calibri" w:cs="Calibri"/>
          <w:sz w:val="24"/>
          <w:szCs w:val="24"/>
        </w:rPr>
        <w:t xml:space="preserve"> Maddiyata esbab hesabıyla bakılırsa cehalettir. Allah hesabıyla olursa, marifet-i İlahiyedir.</w:t>
      </w:r>
    </w:p>
    <w:p w:rsidR="009D73D1" w:rsidRPr="009D73D1" w:rsidRDefault="009D73D1" w:rsidP="009D73D1">
      <w:pPr>
        <w:spacing w:before="120" w:after="0" w:line="240" w:lineRule="auto"/>
        <w:jc w:val="both"/>
        <w:rPr>
          <w:rFonts w:ascii="Calibri" w:hAnsi="Calibri" w:cs="Calibri"/>
          <w:sz w:val="24"/>
          <w:szCs w:val="24"/>
        </w:rPr>
      </w:pPr>
      <w:r w:rsidRPr="009D73D1">
        <w:rPr>
          <w:rFonts w:ascii="Calibri" w:hAnsi="Calibri" w:cs="Calibri"/>
          <w:b/>
          <w:bCs/>
          <w:sz w:val="24"/>
          <w:szCs w:val="24"/>
        </w:rPr>
        <w:lastRenderedPageBreak/>
        <w:t>Birinci Kelâm:</w:t>
      </w:r>
      <w:r w:rsidR="00DD7171">
        <w:rPr>
          <w:rFonts w:ascii="Calibri" w:hAnsi="Calibri" w:cs="Calibri"/>
          <w:b/>
          <w:bCs/>
          <w:sz w:val="24"/>
          <w:szCs w:val="24"/>
        </w:rPr>
        <w:t xml:space="preserve"> </w:t>
      </w:r>
      <w:r w:rsidRPr="009D73D1">
        <w:rPr>
          <w:rFonts w:ascii="Calibri" w:hAnsi="Calibri" w:cs="Calibri"/>
          <w:color w:val="FF0000"/>
          <w:sz w:val="28"/>
          <w:szCs w:val="28"/>
          <w:rtl/>
        </w:rPr>
        <w:t>اِنِّى لَسْتُ مَالِكِى</w:t>
      </w:r>
      <w:r w:rsidRPr="009D73D1">
        <w:rPr>
          <w:rFonts w:ascii="Calibri" w:hAnsi="Calibri" w:cs="Calibri"/>
          <w:sz w:val="24"/>
          <w:szCs w:val="24"/>
        </w:rPr>
        <w:t xml:space="preserve"> Ben kendime mâlik değilim. Ancak mâlikim kâinatın mâlikidir.</w:t>
      </w:r>
      <w:r>
        <w:rPr>
          <w:rStyle w:val="FootnoteReference"/>
          <w:rFonts w:ascii="Calibri" w:hAnsi="Calibri" w:cs="Calibri"/>
          <w:sz w:val="24"/>
          <w:szCs w:val="24"/>
        </w:rPr>
        <w:footnoteReference w:id="6"/>
      </w:r>
      <w:r w:rsidRPr="009D73D1">
        <w:rPr>
          <w:rFonts w:ascii="Calibri" w:hAnsi="Calibri" w:cs="Calibri"/>
          <w:sz w:val="24"/>
          <w:szCs w:val="24"/>
        </w:rPr>
        <w:t xml:space="preserve"> Fakat kendime mâlik nazarıyla bakıyorum ki, Mâlik-i Hakikî'nin sıfâtını ve sıfatların bir derece mahiyetini ve hududunu bileyim. Evet mevhum, mütenahî hududum ile Mâlik-i Hakikî'nin sıfatlarının bir cihette gayr-ı mütenahî hududunu bildim.</w:t>
      </w:r>
    </w:p>
    <w:p w:rsidR="009D73D1" w:rsidRPr="009D73D1" w:rsidRDefault="009D73D1" w:rsidP="009D73D1">
      <w:pPr>
        <w:spacing w:before="120" w:after="0" w:line="240" w:lineRule="auto"/>
        <w:jc w:val="both"/>
        <w:rPr>
          <w:rFonts w:ascii="Calibri" w:hAnsi="Calibri" w:cs="Calibri"/>
          <w:sz w:val="24"/>
          <w:szCs w:val="24"/>
        </w:rPr>
      </w:pPr>
      <w:r w:rsidRPr="009D73D1">
        <w:rPr>
          <w:rFonts w:ascii="Calibri" w:hAnsi="Calibri" w:cs="Calibri"/>
          <w:b/>
          <w:bCs/>
          <w:sz w:val="24"/>
          <w:szCs w:val="24"/>
        </w:rPr>
        <w:t>İkinci Kelâm:</w:t>
      </w:r>
      <w:r w:rsidR="00DD7171">
        <w:rPr>
          <w:rFonts w:ascii="Calibri" w:hAnsi="Calibri" w:cs="Calibri"/>
          <w:b/>
          <w:bCs/>
          <w:sz w:val="24"/>
          <w:szCs w:val="24"/>
        </w:rPr>
        <w:t xml:space="preserve"> </w:t>
      </w:r>
      <w:r w:rsidRPr="009D73D1">
        <w:rPr>
          <w:rFonts w:ascii="Calibri" w:hAnsi="Calibri" w:cs="Calibri"/>
          <w:color w:val="FF0000"/>
          <w:sz w:val="28"/>
          <w:szCs w:val="28"/>
          <w:rtl/>
        </w:rPr>
        <w:t>اَلْمَوْتُ حَقٌّ</w:t>
      </w:r>
      <w:r w:rsidRPr="009D73D1">
        <w:rPr>
          <w:rFonts w:ascii="Calibri" w:hAnsi="Calibri" w:cs="Calibri"/>
          <w:sz w:val="24"/>
          <w:szCs w:val="24"/>
        </w:rPr>
        <w:t xml:space="preserve"> Ölüm haktır.</w:t>
      </w:r>
      <w:r w:rsidR="001F1BC9">
        <w:rPr>
          <w:rStyle w:val="FootnoteReference"/>
          <w:rFonts w:ascii="Calibri" w:hAnsi="Calibri" w:cs="Calibri"/>
          <w:sz w:val="24"/>
          <w:szCs w:val="24"/>
        </w:rPr>
        <w:footnoteReference w:id="7"/>
      </w:r>
      <w:r w:rsidRPr="009D73D1">
        <w:rPr>
          <w:rFonts w:ascii="Calibri" w:hAnsi="Calibri" w:cs="Calibri"/>
          <w:sz w:val="24"/>
          <w:szCs w:val="24"/>
        </w:rPr>
        <w:t xml:space="preserve"> Evet bu hayat ve bu beden şu azîm dünyaya direk olacak kabiliyette değildir. Zira onlar demir ve taştan değildir. Ancak et, kan ve kemik gibi mütehalif şeylerden terekküb etmiş. Kısa bir zamanda tevafukları, içtimaları varsa da, iftirakları ve dağılmaları her vakit melhuzdur.</w:t>
      </w:r>
      <w:r w:rsidR="00760515">
        <w:rPr>
          <w:rStyle w:val="FootnoteReference"/>
          <w:rFonts w:ascii="Calibri" w:hAnsi="Calibri" w:cs="Calibri"/>
          <w:sz w:val="24"/>
          <w:szCs w:val="24"/>
        </w:rPr>
        <w:footnoteReference w:id="8"/>
      </w:r>
    </w:p>
    <w:p w:rsidR="009D73D1" w:rsidRPr="009D73D1" w:rsidRDefault="009D73D1" w:rsidP="009D73D1">
      <w:pPr>
        <w:spacing w:before="120" w:after="0" w:line="240" w:lineRule="auto"/>
        <w:jc w:val="both"/>
        <w:rPr>
          <w:rFonts w:ascii="Calibri" w:hAnsi="Calibri" w:cs="Calibri"/>
          <w:sz w:val="24"/>
          <w:szCs w:val="24"/>
        </w:rPr>
      </w:pPr>
      <w:r w:rsidRPr="009D73D1">
        <w:rPr>
          <w:rFonts w:ascii="Calibri" w:hAnsi="Calibri" w:cs="Calibri"/>
          <w:b/>
          <w:bCs/>
          <w:sz w:val="24"/>
          <w:szCs w:val="24"/>
        </w:rPr>
        <w:t>Üçüncü Kelâm:</w:t>
      </w:r>
      <w:r w:rsidR="00DD7171">
        <w:rPr>
          <w:rFonts w:ascii="Calibri" w:hAnsi="Calibri" w:cs="Calibri"/>
          <w:b/>
          <w:bCs/>
          <w:sz w:val="24"/>
          <w:szCs w:val="24"/>
        </w:rPr>
        <w:t xml:space="preserve"> </w:t>
      </w:r>
      <w:r w:rsidRPr="009D73D1">
        <w:rPr>
          <w:rFonts w:ascii="Calibri" w:hAnsi="Calibri" w:cs="Calibri"/>
          <w:color w:val="FF0000"/>
          <w:sz w:val="28"/>
          <w:szCs w:val="28"/>
          <w:rtl/>
        </w:rPr>
        <w:t>رَبِّى وَاحِدٌ</w:t>
      </w:r>
      <w:r w:rsidRPr="009D73D1">
        <w:rPr>
          <w:rFonts w:ascii="Calibri" w:hAnsi="Calibri" w:cs="Calibri"/>
          <w:sz w:val="24"/>
          <w:szCs w:val="24"/>
        </w:rPr>
        <w:t xml:space="preserve"> Rabbim birdir.</w:t>
      </w:r>
      <w:r w:rsidR="005079BE">
        <w:rPr>
          <w:rStyle w:val="FootnoteReference"/>
          <w:rFonts w:ascii="Calibri" w:hAnsi="Calibri" w:cs="Calibri"/>
          <w:sz w:val="24"/>
          <w:szCs w:val="24"/>
        </w:rPr>
        <w:footnoteReference w:id="9"/>
      </w:r>
      <w:r w:rsidRPr="009D73D1">
        <w:rPr>
          <w:rFonts w:ascii="Calibri" w:hAnsi="Calibri" w:cs="Calibri"/>
          <w:sz w:val="24"/>
          <w:szCs w:val="24"/>
        </w:rPr>
        <w:t xml:space="preserve"> Evet herkesin bütün saadetleri, bir Rabb-ı Rahîm'e olan teslimiyete bağlıdır. Aksi takdirde pek çok rablere muhtaç olur. Çünki insan, câmiiyeti itibariyle bütün eşyaya ihtiyacı ve alâkası vardır. Ve her şeye karşı (hissederek veya etmeyerek) teessürü elemleri vardır. Bu ise tam cehennem gibi bir halettir. Fakat erbab tevehhüm edilen esbab yed-i kudretine bir perde olan Rabb-ı Vâhid'e teslimiyet, firdevsî bir vaziyettir.</w:t>
      </w:r>
    </w:p>
    <w:p w:rsidR="009D73D1" w:rsidRDefault="009D73D1" w:rsidP="009D73D1">
      <w:pPr>
        <w:spacing w:before="120" w:after="0" w:line="240" w:lineRule="auto"/>
        <w:jc w:val="both"/>
        <w:rPr>
          <w:rFonts w:ascii="Calibri" w:hAnsi="Calibri" w:cs="Calibri"/>
          <w:sz w:val="24"/>
          <w:szCs w:val="24"/>
        </w:rPr>
      </w:pPr>
      <w:r w:rsidRPr="009D73D1">
        <w:rPr>
          <w:rFonts w:ascii="Calibri" w:hAnsi="Calibri" w:cs="Calibri"/>
          <w:b/>
          <w:bCs/>
          <w:sz w:val="24"/>
          <w:szCs w:val="24"/>
        </w:rPr>
        <w:t>Dördüncü Kelâm:</w:t>
      </w:r>
      <w:r w:rsidR="00DD7171">
        <w:rPr>
          <w:rFonts w:ascii="Calibri" w:hAnsi="Calibri" w:cs="Calibri"/>
          <w:b/>
          <w:bCs/>
          <w:sz w:val="24"/>
          <w:szCs w:val="24"/>
        </w:rPr>
        <w:t xml:space="preserve"> </w:t>
      </w:r>
      <w:r w:rsidRPr="009D73D1">
        <w:rPr>
          <w:rFonts w:ascii="Calibri" w:hAnsi="Calibri" w:cs="Calibri"/>
          <w:color w:val="FF0000"/>
          <w:sz w:val="28"/>
          <w:szCs w:val="28"/>
          <w:rtl/>
        </w:rPr>
        <w:t>اَنَا</w:t>
      </w:r>
      <w:r w:rsidRPr="009D73D1">
        <w:rPr>
          <w:rFonts w:ascii="Calibri" w:hAnsi="Calibri" w:cs="Calibri"/>
          <w:sz w:val="24"/>
          <w:szCs w:val="24"/>
        </w:rPr>
        <w:t xml:space="preserve"> ile tabir edilen benlik, yani kendisine bir vücud, bir kıymet vermektir ki; bu ene, Cenab-ı Hakk'ın sıfâtını, şuunatını bilmek için bir santral ve bir vâhid-i kıyasîdir.</w:t>
      </w:r>
      <w:r w:rsidR="005079BE">
        <w:rPr>
          <w:rStyle w:val="FootnoteReference"/>
          <w:rFonts w:ascii="Calibri" w:hAnsi="Calibri" w:cs="Calibri"/>
          <w:sz w:val="24"/>
          <w:szCs w:val="24"/>
        </w:rPr>
        <w:footnoteReference w:id="10"/>
      </w:r>
    </w:p>
    <w:p w:rsidR="0069323D" w:rsidRDefault="0069323D" w:rsidP="00AD72A8">
      <w:pPr>
        <w:spacing w:before="120" w:after="0" w:line="240" w:lineRule="auto"/>
        <w:jc w:val="both"/>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CB6" w:rsidRDefault="00056CB6" w:rsidP="00AD72A8">
      <w:pPr>
        <w:spacing w:after="0" w:line="240" w:lineRule="auto"/>
      </w:pPr>
      <w:r>
        <w:separator/>
      </w:r>
    </w:p>
  </w:endnote>
  <w:endnote w:type="continuationSeparator" w:id="1">
    <w:p w:rsidR="00056CB6" w:rsidRDefault="00056CB6" w:rsidP="00AD7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CB6" w:rsidRDefault="00056CB6" w:rsidP="00AD72A8">
      <w:pPr>
        <w:spacing w:after="0" w:line="240" w:lineRule="auto"/>
      </w:pPr>
      <w:r>
        <w:separator/>
      </w:r>
    </w:p>
  </w:footnote>
  <w:footnote w:type="continuationSeparator" w:id="1">
    <w:p w:rsidR="00056CB6" w:rsidRDefault="00056CB6" w:rsidP="00AD72A8">
      <w:pPr>
        <w:spacing w:after="0" w:line="240" w:lineRule="auto"/>
      </w:pPr>
      <w:r>
        <w:continuationSeparator/>
      </w:r>
    </w:p>
  </w:footnote>
  <w:footnote w:id="2">
    <w:p w:rsidR="002A0A25" w:rsidRPr="002A0A25" w:rsidRDefault="002A0A25" w:rsidP="005079BE">
      <w:pPr>
        <w:spacing w:before="120" w:after="0" w:line="240" w:lineRule="auto"/>
        <w:jc w:val="both"/>
        <w:rPr>
          <w:rFonts w:ascii="Calibri" w:hAnsi="Calibri" w:cs="Calibri"/>
          <w:b/>
          <w:bCs/>
          <w:sz w:val="24"/>
          <w:szCs w:val="24"/>
        </w:rPr>
      </w:pPr>
      <w:r w:rsidRPr="002A0A25">
        <w:rPr>
          <w:rStyle w:val="FootnoteReference"/>
          <w:sz w:val="24"/>
          <w:szCs w:val="24"/>
        </w:rPr>
        <w:footnoteRef/>
      </w:r>
      <w:r w:rsidRPr="002A0A25">
        <w:rPr>
          <w:sz w:val="24"/>
          <w:szCs w:val="24"/>
        </w:rPr>
        <w:t xml:space="preserve"> </w:t>
      </w:r>
      <w:r w:rsidRPr="002A0A25">
        <w:rPr>
          <w:rFonts w:ascii="Calibri" w:hAnsi="Calibri" w:cs="Calibri"/>
          <w:sz w:val="24"/>
          <w:szCs w:val="24"/>
        </w:rPr>
        <w:t>“</w:t>
      </w:r>
      <w:r w:rsidRPr="002A0A25">
        <w:rPr>
          <w:rFonts w:ascii="Calibri" w:hAnsi="Calibri" w:cs="Calibri"/>
          <w:sz w:val="24"/>
          <w:szCs w:val="24"/>
        </w:rPr>
        <w:t>Kur'an-ı Kerim coğrafya, kozmoğrafya gibi kasden kâinatın keyfiyetinden mana-yı ismiyle bahseden bir fen, bir kitab değildir. Ancak kâinat sahifesinde yazılan san'at-ı İlahiyenin nakışları ve kudretin hilkat mu'cizeleri ve kozmoğrafyacıları hayrette bırakan nizam ve intizamla, mana-yı harfiyle Sâni' ve Nazzam-ı Hakikî'ye istidlal keyfiyetini öğretmek için nâzil olan bir kitabdır. Binaenaleyh san'at, kasd, nizam kâinatın her zerresinde bulunur, matlub hasıl olur. Teşekkülü nasıl olursa olsun, bizim matlubumuza taalluku yoktur. Febinâen alâ zâlik mademki Kur'anın kâinattan bahsi istidlal içindir ve delilin de müddeadan evvel malûm olması şarttır ve delilin muhatablarca vuzuhu müstahsendir; bazı âyetlerin onların hissiyatına ve edebî malûmatlarına imale etmesi ve benzetmesi, mukteza-yı belâgat ve irşad olmaz mı? Fakat bu âyetlerin, hissiyatlarına imale etmesi mes'elesi, o hissiyata kasden delalet etmek için değildir.</w:t>
      </w:r>
      <w:r w:rsidRPr="002A0A25">
        <w:rPr>
          <w:rFonts w:ascii="Calibri" w:hAnsi="Calibri" w:cs="Calibri"/>
          <w:sz w:val="24"/>
          <w:szCs w:val="24"/>
        </w:rPr>
        <w:t xml:space="preserve">” </w:t>
      </w:r>
      <w:r w:rsidRPr="002A0A25">
        <w:rPr>
          <w:rFonts w:ascii="Calibri" w:hAnsi="Calibri" w:cs="Calibri"/>
          <w:b/>
          <w:bCs/>
          <w:sz w:val="24"/>
          <w:szCs w:val="24"/>
        </w:rPr>
        <w:t>İşarat-ül İ'caz (</w:t>
      </w:r>
      <w:r w:rsidRPr="002A0A25">
        <w:rPr>
          <w:rFonts w:ascii="Calibri" w:hAnsi="Calibri" w:cs="Calibri"/>
          <w:b/>
          <w:bCs/>
          <w:sz w:val="24"/>
          <w:szCs w:val="24"/>
        </w:rPr>
        <w:t>118)</w:t>
      </w:r>
    </w:p>
    <w:p w:rsidR="002A0A25" w:rsidRPr="002A0A25" w:rsidRDefault="002A0A25" w:rsidP="005079BE">
      <w:pPr>
        <w:spacing w:before="120" w:after="0" w:line="240" w:lineRule="auto"/>
        <w:jc w:val="both"/>
        <w:rPr>
          <w:rFonts w:ascii="Calibri" w:hAnsi="Calibri" w:cs="Calibri"/>
          <w:sz w:val="24"/>
          <w:szCs w:val="24"/>
        </w:rPr>
      </w:pPr>
      <w:r w:rsidRPr="002A0A25">
        <w:rPr>
          <w:b/>
          <w:bCs/>
          <w:sz w:val="24"/>
          <w:szCs w:val="24"/>
        </w:rPr>
        <w:t xml:space="preserve">Ayrıca </w:t>
      </w:r>
      <w:r w:rsidRPr="002A0A25">
        <w:rPr>
          <w:rFonts w:ascii="Calibri" w:hAnsi="Calibri" w:cs="Calibri"/>
          <w:i/>
          <w:iCs/>
          <w:sz w:val="24"/>
          <w:szCs w:val="24"/>
        </w:rPr>
        <w:t xml:space="preserve">(Bakınız: </w:t>
      </w:r>
      <w:r w:rsidR="00682816" w:rsidRPr="00682816">
        <w:rPr>
          <w:rFonts w:ascii="Calibri" w:hAnsi="Calibri" w:cs="Calibri"/>
          <w:i/>
          <w:iCs/>
          <w:sz w:val="24"/>
          <w:szCs w:val="24"/>
          <w:highlight w:val="yellow"/>
        </w:rPr>
        <w:t>Marifetullah</w:t>
      </w:r>
      <w:r w:rsidR="00682816">
        <w:rPr>
          <w:rFonts w:ascii="Calibri" w:hAnsi="Calibri" w:cs="Calibri"/>
          <w:i/>
          <w:iCs/>
          <w:sz w:val="24"/>
          <w:szCs w:val="24"/>
        </w:rPr>
        <w:t xml:space="preserve"> ve </w:t>
      </w:r>
      <w:r w:rsidR="00682816" w:rsidRPr="00682816">
        <w:rPr>
          <w:rFonts w:ascii="Calibri" w:hAnsi="Calibri" w:cs="Calibri"/>
          <w:i/>
          <w:iCs/>
          <w:sz w:val="24"/>
          <w:szCs w:val="24"/>
          <w:highlight w:val="yellow"/>
        </w:rPr>
        <w:t>Kitab-ı Kâinatı Okumak</w:t>
      </w:r>
      <w:r w:rsidR="00682816">
        <w:rPr>
          <w:rFonts w:ascii="Calibri" w:hAnsi="Calibri" w:cs="Calibri"/>
          <w:i/>
          <w:iCs/>
          <w:sz w:val="24"/>
          <w:szCs w:val="24"/>
        </w:rPr>
        <w:t xml:space="preserve"> </w:t>
      </w:r>
      <w:r w:rsidRPr="002A0A25">
        <w:rPr>
          <w:rFonts w:ascii="Calibri" w:hAnsi="Calibri" w:cs="Calibri"/>
          <w:i/>
          <w:iCs/>
          <w:sz w:val="24"/>
          <w:szCs w:val="24"/>
        </w:rPr>
        <w:t>Derleme</w:t>
      </w:r>
      <w:r w:rsidR="00682816">
        <w:rPr>
          <w:rFonts w:ascii="Calibri" w:hAnsi="Calibri" w:cs="Calibri"/>
          <w:i/>
          <w:iCs/>
          <w:sz w:val="24"/>
          <w:szCs w:val="24"/>
        </w:rPr>
        <w:t>leri</w:t>
      </w:r>
      <w:r w:rsidRPr="002A0A25">
        <w:rPr>
          <w:rFonts w:ascii="Calibri" w:hAnsi="Calibri" w:cs="Calibri"/>
          <w:i/>
          <w:iCs/>
          <w:sz w:val="24"/>
          <w:szCs w:val="24"/>
        </w:rPr>
        <w:t xml:space="preserve"> ve İslam Prensipleri Ansiklopedisi </w:t>
      </w:r>
      <w:r w:rsidRPr="002A0A25">
        <w:rPr>
          <w:rFonts w:ascii="Calibri" w:hAnsi="Calibri" w:cs="Calibri"/>
          <w:i/>
          <w:iCs/>
          <w:sz w:val="24"/>
          <w:szCs w:val="24"/>
          <w:highlight w:val="yellow"/>
        </w:rPr>
        <w:t>Mana-yı Harfî</w:t>
      </w:r>
      <w:r w:rsidRPr="002A0A25">
        <w:rPr>
          <w:rFonts w:ascii="Calibri" w:hAnsi="Calibri" w:cs="Calibri"/>
          <w:i/>
          <w:iCs/>
          <w:sz w:val="24"/>
          <w:szCs w:val="24"/>
        </w:rPr>
        <w:t xml:space="preserve"> Maddesi)</w:t>
      </w:r>
    </w:p>
  </w:footnote>
  <w:footnote w:id="3">
    <w:p w:rsidR="00682816" w:rsidRDefault="00682816" w:rsidP="005079BE">
      <w:pPr>
        <w:pStyle w:val="FootnoteText"/>
        <w:spacing w:before="120"/>
        <w:jc w:val="both"/>
      </w:pPr>
      <w:r>
        <w:rPr>
          <w:rStyle w:val="FootnoteReference"/>
        </w:rPr>
        <w:footnoteRef/>
      </w:r>
      <w:r>
        <w:t xml:space="preserve"> </w:t>
      </w:r>
      <w:r w:rsidRPr="002A0A25">
        <w:rPr>
          <w:rFonts w:ascii="Calibri" w:hAnsi="Calibri" w:cs="Calibri"/>
          <w:i/>
          <w:iCs/>
          <w:sz w:val="24"/>
          <w:szCs w:val="24"/>
        </w:rPr>
        <w:t xml:space="preserve">(Bakınız: </w:t>
      </w:r>
      <w:r w:rsidRPr="00682816">
        <w:rPr>
          <w:rFonts w:ascii="Calibri" w:hAnsi="Calibri" w:cs="Calibri"/>
          <w:i/>
          <w:iCs/>
          <w:sz w:val="24"/>
          <w:szCs w:val="24"/>
          <w:highlight w:val="yellow"/>
        </w:rPr>
        <w:t>Nazar</w:t>
      </w:r>
      <w:r>
        <w:rPr>
          <w:rFonts w:ascii="Calibri" w:hAnsi="Calibri" w:cs="Calibri"/>
          <w:i/>
          <w:iCs/>
          <w:sz w:val="24"/>
          <w:szCs w:val="24"/>
        </w:rPr>
        <w:t xml:space="preserve"> </w:t>
      </w:r>
      <w:r w:rsidRPr="002A0A25">
        <w:rPr>
          <w:rFonts w:ascii="Calibri" w:hAnsi="Calibri" w:cs="Calibri"/>
          <w:i/>
          <w:iCs/>
          <w:sz w:val="24"/>
          <w:szCs w:val="24"/>
        </w:rPr>
        <w:t>Derleme</w:t>
      </w:r>
      <w:r>
        <w:rPr>
          <w:rFonts w:ascii="Calibri" w:hAnsi="Calibri" w:cs="Calibri"/>
          <w:i/>
          <w:iCs/>
          <w:sz w:val="24"/>
          <w:szCs w:val="24"/>
        </w:rPr>
        <w:t>si)</w:t>
      </w:r>
    </w:p>
  </w:footnote>
  <w:footnote w:id="4">
    <w:p w:rsidR="00682816" w:rsidRDefault="00682816" w:rsidP="005079BE">
      <w:pPr>
        <w:pStyle w:val="FootnoteText"/>
        <w:spacing w:before="120"/>
        <w:jc w:val="both"/>
      </w:pPr>
      <w:r>
        <w:rPr>
          <w:rStyle w:val="FootnoteReference"/>
        </w:rPr>
        <w:footnoteRef/>
      </w:r>
      <w:r>
        <w:t xml:space="preserve"> </w:t>
      </w:r>
      <w:r w:rsidRPr="002A0A25">
        <w:rPr>
          <w:rFonts w:ascii="Calibri" w:hAnsi="Calibri" w:cs="Calibri"/>
          <w:i/>
          <w:iCs/>
          <w:sz w:val="24"/>
          <w:szCs w:val="24"/>
        </w:rPr>
        <w:t xml:space="preserve">(Bakınız: </w:t>
      </w:r>
      <w:r w:rsidRPr="00682816">
        <w:rPr>
          <w:rFonts w:ascii="Calibri" w:hAnsi="Calibri" w:cs="Calibri"/>
          <w:i/>
          <w:iCs/>
          <w:sz w:val="24"/>
          <w:szCs w:val="24"/>
          <w:highlight w:val="yellow"/>
        </w:rPr>
        <w:t>Niyet</w:t>
      </w:r>
      <w:r>
        <w:rPr>
          <w:rFonts w:ascii="Calibri" w:hAnsi="Calibri" w:cs="Calibri"/>
          <w:i/>
          <w:iCs/>
          <w:sz w:val="24"/>
          <w:szCs w:val="24"/>
        </w:rPr>
        <w:t xml:space="preserve"> </w:t>
      </w:r>
      <w:r w:rsidRPr="002A0A25">
        <w:rPr>
          <w:rFonts w:ascii="Calibri" w:hAnsi="Calibri" w:cs="Calibri"/>
          <w:i/>
          <w:iCs/>
          <w:sz w:val="24"/>
          <w:szCs w:val="24"/>
        </w:rPr>
        <w:t>Derleme</w:t>
      </w:r>
      <w:r>
        <w:rPr>
          <w:rFonts w:ascii="Calibri" w:hAnsi="Calibri" w:cs="Calibri"/>
          <w:i/>
          <w:iCs/>
          <w:sz w:val="24"/>
          <w:szCs w:val="24"/>
        </w:rPr>
        <w:t>si)</w:t>
      </w:r>
    </w:p>
  </w:footnote>
  <w:footnote w:id="5">
    <w:p w:rsidR="00682816" w:rsidRDefault="00682816" w:rsidP="005079BE">
      <w:pPr>
        <w:spacing w:before="120" w:after="0" w:line="240" w:lineRule="auto"/>
        <w:jc w:val="both"/>
        <w:rPr>
          <w:rFonts w:ascii="Calibri" w:hAnsi="Calibri" w:cs="Calibri"/>
          <w:sz w:val="24"/>
          <w:szCs w:val="24"/>
        </w:rPr>
      </w:pPr>
      <w:r w:rsidRPr="002A0A25">
        <w:rPr>
          <w:rStyle w:val="FootnoteReference"/>
          <w:sz w:val="24"/>
          <w:szCs w:val="24"/>
        </w:rPr>
        <w:footnoteRef/>
      </w:r>
      <w:r w:rsidRPr="002A0A25">
        <w:rPr>
          <w:sz w:val="24"/>
          <w:szCs w:val="24"/>
        </w:rPr>
        <w:t xml:space="preserve"> “</w:t>
      </w:r>
      <w:r w:rsidRPr="002A0A25">
        <w:rPr>
          <w:rFonts w:ascii="Calibri" w:hAnsi="Calibri" w:cs="Calibri"/>
          <w:sz w:val="24"/>
          <w:szCs w:val="24"/>
        </w:rPr>
        <w:t xml:space="preserve">Bidayet-i inkılabımızdan beri, </w:t>
      </w:r>
      <w:r w:rsidRPr="00682816">
        <w:rPr>
          <w:rFonts w:ascii="Calibri" w:hAnsi="Calibri" w:cs="Calibri"/>
          <w:b/>
          <w:bCs/>
          <w:sz w:val="24"/>
          <w:szCs w:val="24"/>
        </w:rPr>
        <w:t>sevab-ı âhiretin vesilesini dinsizcesine</w:t>
      </w:r>
      <w:r w:rsidRPr="00682816">
        <w:rPr>
          <w:rFonts w:ascii="Calibri" w:hAnsi="Calibri" w:cs="Calibri"/>
          <w:b/>
          <w:bCs/>
          <w:sz w:val="24"/>
          <w:szCs w:val="24"/>
        </w:rPr>
        <w:t xml:space="preserve"> </w:t>
      </w:r>
      <w:r w:rsidRPr="00682816">
        <w:rPr>
          <w:rFonts w:ascii="Calibri" w:hAnsi="Calibri" w:cs="Calibri"/>
          <w:b/>
          <w:bCs/>
          <w:sz w:val="24"/>
          <w:szCs w:val="24"/>
        </w:rPr>
        <w:t>şan ü şerefe vasıta yapanlar,</w:t>
      </w:r>
      <w:r w:rsidRPr="002A0A25">
        <w:rPr>
          <w:rFonts w:ascii="Calibri" w:hAnsi="Calibri" w:cs="Calibri"/>
          <w:sz w:val="24"/>
          <w:szCs w:val="24"/>
        </w:rPr>
        <w:t xml:space="preserve"> müdhiş bir rezaletle neticelendi. Muvakkat bir şan ü şereften sonra, elîm bir sukut takib etti. Lisan-ı halleri </w:t>
      </w:r>
      <w:r w:rsidRPr="002A0A25">
        <w:rPr>
          <w:rFonts w:ascii="Calibri" w:hAnsi="Calibri" w:cs="Calibri"/>
          <w:color w:val="FF0000"/>
          <w:sz w:val="28"/>
          <w:szCs w:val="28"/>
          <w:rtl/>
        </w:rPr>
        <w:t>لَيْتَنِى كُنْتُ نَسْيًا مَنْسِيًّا</w:t>
      </w:r>
      <w:r w:rsidRPr="002A0A25">
        <w:rPr>
          <w:rFonts w:ascii="Calibri" w:hAnsi="Calibri" w:cs="Calibri"/>
          <w:sz w:val="24"/>
          <w:szCs w:val="24"/>
        </w:rPr>
        <w:t xml:space="preserve"> tilavet ediyor.</w:t>
      </w:r>
    </w:p>
    <w:p w:rsidR="00682816" w:rsidRDefault="00682816" w:rsidP="005079BE">
      <w:pPr>
        <w:spacing w:before="120" w:after="0" w:line="240" w:lineRule="auto"/>
        <w:jc w:val="both"/>
        <w:rPr>
          <w:rFonts w:ascii="Calibri" w:hAnsi="Calibri" w:cs="Calibri"/>
          <w:b/>
          <w:bCs/>
          <w:sz w:val="24"/>
          <w:szCs w:val="24"/>
        </w:rPr>
      </w:pPr>
      <w:r w:rsidRPr="00682816">
        <w:rPr>
          <w:rFonts w:ascii="Calibri" w:hAnsi="Calibri" w:cs="Calibri"/>
          <w:sz w:val="24"/>
          <w:szCs w:val="24"/>
        </w:rPr>
        <w:t>Fıtrat-ı insan bir mezraa hükmündedir ki, secaya-yı hasene temayülat-ı şerriye ile beraber, taneler gibi dest-i kaderle içinde ekilmiştir. Bu taneler neşv-ü nema bulmak için bir suya muhtaçtır. Hevadan gelse, şer taneleri neşv-ü nema bulur. Şimdiki şu medeniyet-i habisenin heyet-i içtimaiyeye verdiği tesir gibi... Fıtraten -çendan- hayır ciheti galibdir, fakat sünbüllenmiş, semere vermiş on çekirdek, yüz değil bin kurumuş çekirdeğe galebe eder. İşte şunun çaresi: O bâb-ı fitneyi kapatmakla, suyu Hüda tarafından vermek lâzımdır.</w:t>
      </w:r>
      <w:r>
        <w:rPr>
          <w:rFonts w:ascii="Calibri" w:hAnsi="Calibri" w:cs="Calibri"/>
          <w:sz w:val="24"/>
          <w:szCs w:val="24"/>
        </w:rPr>
        <w:t xml:space="preserve">” </w:t>
      </w:r>
      <w:r w:rsidRPr="002A0A25">
        <w:rPr>
          <w:rFonts w:ascii="Calibri" w:hAnsi="Calibri" w:cs="Calibri"/>
          <w:b/>
          <w:bCs/>
          <w:sz w:val="24"/>
          <w:szCs w:val="24"/>
        </w:rPr>
        <w:t>Sünuhat-Tuluat-İşarat (</w:t>
      </w:r>
      <w:r w:rsidRPr="002A0A25">
        <w:rPr>
          <w:rFonts w:ascii="Calibri" w:hAnsi="Calibri" w:cs="Calibri"/>
          <w:b/>
          <w:bCs/>
          <w:sz w:val="24"/>
          <w:szCs w:val="24"/>
        </w:rPr>
        <w:t>94 - 95)</w:t>
      </w:r>
      <w:r w:rsidR="009D73D1">
        <w:rPr>
          <w:rFonts w:ascii="Calibri" w:hAnsi="Calibri" w:cs="Calibri"/>
          <w:b/>
          <w:bCs/>
          <w:sz w:val="24"/>
          <w:szCs w:val="24"/>
        </w:rPr>
        <w:t xml:space="preserve"> </w:t>
      </w:r>
    </w:p>
    <w:p w:rsidR="00682816" w:rsidRPr="00760515" w:rsidRDefault="00682816" w:rsidP="005079BE">
      <w:pPr>
        <w:spacing w:before="120" w:after="0" w:line="240" w:lineRule="auto"/>
        <w:jc w:val="both"/>
        <w:rPr>
          <w:sz w:val="24"/>
          <w:szCs w:val="24"/>
        </w:rPr>
      </w:pPr>
      <w:r w:rsidRPr="00760515">
        <w:rPr>
          <w:b/>
          <w:bCs/>
          <w:sz w:val="24"/>
          <w:szCs w:val="24"/>
        </w:rPr>
        <w:t xml:space="preserve">Ayrıca </w:t>
      </w:r>
      <w:r w:rsidRPr="00760515">
        <w:rPr>
          <w:rFonts w:ascii="Calibri" w:hAnsi="Calibri" w:cs="Calibri"/>
          <w:i/>
          <w:iCs/>
          <w:sz w:val="24"/>
          <w:szCs w:val="24"/>
        </w:rPr>
        <w:t xml:space="preserve">(Bakınız: </w:t>
      </w:r>
      <w:r w:rsidRPr="00760515">
        <w:rPr>
          <w:rFonts w:ascii="Calibri" w:hAnsi="Calibri" w:cs="Calibri"/>
          <w:i/>
          <w:iCs/>
          <w:sz w:val="24"/>
          <w:szCs w:val="24"/>
          <w:highlight w:val="yellow"/>
        </w:rPr>
        <w:t>Riya</w:t>
      </w:r>
      <w:r w:rsidRPr="00760515">
        <w:rPr>
          <w:rFonts w:ascii="Calibri" w:hAnsi="Calibri" w:cs="Calibri"/>
          <w:i/>
          <w:iCs/>
          <w:sz w:val="24"/>
          <w:szCs w:val="24"/>
        </w:rPr>
        <w:t xml:space="preserve">, </w:t>
      </w:r>
      <w:r w:rsidRPr="00760515">
        <w:rPr>
          <w:rFonts w:ascii="Calibri" w:hAnsi="Calibri" w:cs="Calibri"/>
          <w:i/>
          <w:iCs/>
          <w:sz w:val="24"/>
          <w:szCs w:val="24"/>
          <w:highlight w:val="yellow"/>
        </w:rPr>
        <w:t>Şöhret</w:t>
      </w:r>
      <w:r w:rsidRPr="00760515">
        <w:rPr>
          <w:rFonts w:ascii="Calibri" w:hAnsi="Calibri" w:cs="Calibri"/>
          <w:i/>
          <w:iCs/>
          <w:sz w:val="24"/>
          <w:szCs w:val="24"/>
        </w:rPr>
        <w:t xml:space="preserve"> ve </w:t>
      </w:r>
      <w:r w:rsidRPr="00760515">
        <w:rPr>
          <w:rFonts w:ascii="Calibri" w:hAnsi="Calibri" w:cs="Calibri"/>
          <w:i/>
          <w:iCs/>
          <w:sz w:val="24"/>
          <w:szCs w:val="24"/>
          <w:highlight w:val="yellow"/>
        </w:rPr>
        <w:t>İhlas</w:t>
      </w:r>
      <w:r w:rsidRPr="00760515">
        <w:rPr>
          <w:rFonts w:ascii="Calibri" w:hAnsi="Calibri" w:cs="Calibri"/>
          <w:i/>
          <w:iCs/>
          <w:sz w:val="24"/>
          <w:szCs w:val="24"/>
        </w:rPr>
        <w:t xml:space="preserve"> Derlemeleri)</w:t>
      </w:r>
    </w:p>
  </w:footnote>
  <w:footnote w:id="6">
    <w:p w:rsidR="009D73D1" w:rsidRPr="00760515" w:rsidRDefault="009D73D1" w:rsidP="005079BE">
      <w:pPr>
        <w:pStyle w:val="FootnoteText"/>
        <w:spacing w:before="120"/>
        <w:jc w:val="both"/>
        <w:rPr>
          <w:sz w:val="24"/>
          <w:szCs w:val="24"/>
        </w:rPr>
      </w:pPr>
      <w:r w:rsidRPr="00760515">
        <w:rPr>
          <w:rStyle w:val="FootnoteReference"/>
          <w:sz w:val="24"/>
          <w:szCs w:val="24"/>
        </w:rPr>
        <w:footnoteRef/>
      </w:r>
      <w:r w:rsidRPr="00760515">
        <w:rPr>
          <w:sz w:val="24"/>
          <w:szCs w:val="24"/>
        </w:rPr>
        <w:t xml:space="preserve"> </w:t>
      </w:r>
      <w:r w:rsidRPr="00760515">
        <w:rPr>
          <w:rFonts w:ascii="Calibri" w:hAnsi="Calibri" w:cs="Calibri"/>
          <w:b/>
          <w:bCs/>
          <w:sz w:val="24"/>
          <w:szCs w:val="24"/>
        </w:rPr>
        <w:t>Başta zikredilen mana-yı harfi ile enenin mâlik değil, memlûk ve ayine olduğunu görmektir.</w:t>
      </w:r>
      <w:r w:rsidR="001F1BC9" w:rsidRPr="00760515">
        <w:rPr>
          <w:rFonts w:ascii="Calibri" w:hAnsi="Calibri" w:cs="Calibri"/>
          <w:b/>
          <w:bCs/>
          <w:sz w:val="24"/>
          <w:szCs w:val="24"/>
        </w:rPr>
        <w:t xml:space="preserve"> </w:t>
      </w:r>
    </w:p>
  </w:footnote>
  <w:footnote w:id="7">
    <w:p w:rsidR="001F1BC9" w:rsidRPr="00760515" w:rsidRDefault="001F1BC9" w:rsidP="005079BE">
      <w:pPr>
        <w:pStyle w:val="FootnoteText"/>
        <w:spacing w:before="120"/>
        <w:jc w:val="both"/>
        <w:rPr>
          <w:rFonts w:ascii="Calibri" w:hAnsi="Calibri" w:cs="Calibri"/>
          <w:b/>
          <w:bCs/>
          <w:sz w:val="24"/>
          <w:szCs w:val="24"/>
        </w:rPr>
      </w:pPr>
      <w:r w:rsidRPr="00760515">
        <w:rPr>
          <w:rStyle w:val="FootnoteReference"/>
          <w:sz w:val="24"/>
          <w:szCs w:val="24"/>
        </w:rPr>
        <w:footnoteRef/>
      </w:r>
      <w:r w:rsidRPr="00760515">
        <w:rPr>
          <w:sz w:val="24"/>
          <w:szCs w:val="24"/>
        </w:rPr>
        <w:t xml:space="preserve"> </w:t>
      </w:r>
      <w:r w:rsidRPr="00760515">
        <w:rPr>
          <w:rFonts w:ascii="Calibri" w:hAnsi="Calibri" w:cs="Calibri"/>
          <w:b/>
          <w:bCs/>
          <w:sz w:val="24"/>
          <w:szCs w:val="24"/>
        </w:rPr>
        <w:t>Dünya hayatında ahireti esas almak dersi veriliyor.</w:t>
      </w:r>
    </w:p>
    <w:p w:rsidR="001F1BC9" w:rsidRPr="00760515" w:rsidRDefault="001F1BC9" w:rsidP="005079BE">
      <w:pPr>
        <w:pStyle w:val="FootnoteText"/>
        <w:spacing w:before="120"/>
        <w:jc w:val="both"/>
        <w:rPr>
          <w:sz w:val="24"/>
          <w:szCs w:val="24"/>
        </w:rPr>
      </w:pPr>
      <w:r w:rsidRPr="00760515">
        <w:rPr>
          <w:rFonts w:ascii="Calibri" w:hAnsi="Calibri" w:cs="Calibri"/>
          <w:sz w:val="24"/>
          <w:szCs w:val="24"/>
        </w:rPr>
        <w:t>“</w:t>
      </w:r>
      <w:r w:rsidRPr="00760515">
        <w:rPr>
          <w:rFonts w:ascii="Calibri" w:hAnsi="Calibri" w:cs="Calibri"/>
          <w:sz w:val="24"/>
          <w:szCs w:val="24"/>
        </w:rPr>
        <w:t>Şu zamanın nazarı, evvelâ ve bizzât saadet-i dünyeviyeye bakıyor ve ahkâmları ona tevcih ediyor. Halbuki Şeriatın nazarı ise, evvelâ ve bizzât saadet-i uhreviyeye bakar, ikinci derecede -âhirete vesile olmak dolayısıyla- dünyanın saadetine nazar eder. Demek şu zamanın nazarı, ruh-u Şeriattan yabanidir.</w:t>
      </w:r>
      <w:r w:rsidRPr="00760515">
        <w:rPr>
          <w:rFonts w:ascii="Calibri" w:hAnsi="Calibri" w:cs="Calibri"/>
          <w:sz w:val="24"/>
          <w:szCs w:val="24"/>
        </w:rPr>
        <w:t xml:space="preserve">” </w:t>
      </w:r>
      <w:r w:rsidRPr="00760515">
        <w:rPr>
          <w:rFonts w:ascii="Calibri" w:hAnsi="Calibri" w:cs="Calibri"/>
          <w:b/>
          <w:bCs/>
          <w:sz w:val="24"/>
          <w:szCs w:val="24"/>
        </w:rPr>
        <w:t>Sözler (</w:t>
      </w:r>
      <w:r w:rsidRPr="00760515">
        <w:rPr>
          <w:rFonts w:ascii="Calibri" w:hAnsi="Calibri" w:cs="Calibri"/>
          <w:b/>
          <w:bCs/>
          <w:sz w:val="24"/>
          <w:szCs w:val="24"/>
        </w:rPr>
        <w:t>482)</w:t>
      </w:r>
    </w:p>
  </w:footnote>
  <w:footnote w:id="8">
    <w:p w:rsidR="00760515" w:rsidRDefault="00760515" w:rsidP="005079BE">
      <w:pPr>
        <w:spacing w:before="120" w:after="0" w:line="240" w:lineRule="auto"/>
        <w:jc w:val="both"/>
      </w:pPr>
      <w:r w:rsidRPr="00760515">
        <w:rPr>
          <w:rStyle w:val="FootnoteReference"/>
          <w:sz w:val="24"/>
          <w:szCs w:val="24"/>
        </w:rPr>
        <w:footnoteRef/>
      </w:r>
      <w:r w:rsidRPr="00760515">
        <w:rPr>
          <w:sz w:val="24"/>
          <w:szCs w:val="24"/>
        </w:rPr>
        <w:t xml:space="preserve"> “</w:t>
      </w:r>
      <w:r w:rsidRPr="00760515">
        <w:rPr>
          <w:rFonts w:ascii="Calibri" w:hAnsi="Calibri" w:cs="Calibri"/>
          <w:sz w:val="24"/>
          <w:szCs w:val="24"/>
        </w:rPr>
        <w:t>Nefs-i insaniye gafletle kendini unutuyor. Mahiyetindeki hadsiz aczi, nihayetsiz fakrı, gayet derecedeki kusurunu göremez ve görmek istemez. Hem ne kadar zaîf ve zevale maruz ve musibetlere hedef bulunduğunu ve çabuk bozulur dağılır et ve kemikten ibaret olduğunu düşünmez. Âdeta polattan bir vücudu var gibi, lâyemûtane kendini ebedî tahayyül eder gibi dünyaya saldırır. Şedid bir hırs ve tama' ile ve şiddetli alâka ve muhabbet ile dünyaya atılır. Her lezzetli ve menfaatli şeylere bağlanır. Hem kendini kemal-i şefkatle terbiye eden Hâlıkını unutur. Hem netice-i hayatını ve hayat-ı uhreviyesini düşünmez; ahlâk-ı seyyie içinde yuvarlanır.</w:t>
      </w:r>
      <w:r>
        <w:rPr>
          <w:rFonts w:ascii="Calibri" w:hAnsi="Calibri" w:cs="Calibri"/>
          <w:sz w:val="24"/>
          <w:szCs w:val="24"/>
        </w:rPr>
        <w:t xml:space="preserve">” </w:t>
      </w:r>
      <w:r w:rsidRPr="00760515">
        <w:rPr>
          <w:rFonts w:ascii="Calibri" w:hAnsi="Calibri" w:cs="Calibri"/>
          <w:b/>
          <w:bCs/>
          <w:sz w:val="24"/>
          <w:szCs w:val="24"/>
        </w:rPr>
        <w:t>Mektubat (</w:t>
      </w:r>
      <w:r w:rsidRPr="00760515">
        <w:rPr>
          <w:rFonts w:ascii="Calibri" w:hAnsi="Calibri" w:cs="Calibri"/>
          <w:b/>
          <w:bCs/>
          <w:sz w:val="24"/>
          <w:szCs w:val="24"/>
        </w:rPr>
        <w:t>400)</w:t>
      </w:r>
    </w:p>
  </w:footnote>
  <w:footnote w:id="9">
    <w:p w:rsidR="005079BE" w:rsidRPr="005079BE" w:rsidRDefault="005079BE" w:rsidP="005079BE">
      <w:pPr>
        <w:pStyle w:val="FootnoteText"/>
        <w:spacing w:before="120"/>
        <w:jc w:val="both"/>
        <w:rPr>
          <w:i/>
          <w:iCs/>
          <w:sz w:val="24"/>
          <w:szCs w:val="24"/>
        </w:rPr>
      </w:pPr>
      <w:r w:rsidRPr="005079BE">
        <w:rPr>
          <w:rStyle w:val="FootnoteReference"/>
          <w:i/>
          <w:iCs/>
          <w:sz w:val="24"/>
          <w:szCs w:val="24"/>
        </w:rPr>
        <w:footnoteRef/>
      </w:r>
      <w:r w:rsidRPr="005079BE">
        <w:rPr>
          <w:i/>
          <w:iCs/>
          <w:sz w:val="24"/>
          <w:szCs w:val="24"/>
        </w:rPr>
        <w:t xml:space="preserve"> (</w:t>
      </w:r>
      <w:r w:rsidRPr="005079BE">
        <w:rPr>
          <w:rFonts w:ascii="Calibri" w:hAnsi="Calibri" w:cs="Calibri"/>
          <w:i/>
          <w:iCs/>
          <w:sz w:val="24"/>
          <w:szCs w:val="24"/>
        </w:rPr>
        <w:t xml:space="preserve">Bakınız: </w:t>
      </w:r>
      <w:r w:rsidRPr="005079BE">
        <w:rPr>
          <w:rFonts w:ascii="Calibri" w:hAnsi="Calibri" w:cs="Calibri"/>
          <w:i/>
          <w:iCs/>
          <w:sz w:val="24"/>
          <w:szCs w:val="24"/>
          <w:highlight w:val="yellow"/>
        </w:rPr>
        <w:t>Tevhid</w:t>
      </w:r>
      <w:r w:rsidRPr="005079BE">
        <w:rPr>
          <w:rFonts w:ascii="Calibri" w:hAnsi="Calibri" w:cs="Calibri"/>
          <w:i/>
          <w:iCs/>
          <w:sz w:val="24"/>
          <w:szCs w:val="24"/>
        </w:rPr>
        <w:t xml:space="preserve">, </w:t>
      </w:r>
      <w:r w:rsidRPr="005079BE">
        <w:rPr>
          <w:rFonts w:ascii="Calibri" w:hAnsi="Calibri" w:cs="Calibri"/>
          <w:i/>
          <w:iCs/>
          <w:sz w:val="24"/>
          <w:szCs w:val="24"/>
          <w:highlight w:val="yellow"/>
        </w:rPr>
        <w:t>Şirk</w:t>
      </w:r>
      <w:r w:rsidRPr="005079BE">
        <w:rPr>
          <w:rFonts w:ascii="Calibri" w:hAnsi="Calibri" w:cs="Calibri"/>
          <w:i/>
          <w:iCs/>
          <w:sz w:val="24"/>
          <w:szCs w:val="24"/>
        </w:rPr>
        <w:t xml:space="preserve"> ve </w:t>
      </w:r>
      <w:r w:rsidRPr="005079BE">
        <w:rPr>
          <w:rFonts w:ascii="Calibri" w:hAnsi="Calibri" w:cs="Calibri"/>
          <w:i/>
          <w:iCs/>
          <w:sz w:val="24"/>
          <w:szCs w:val="24"/>
          <w:highlight w:val="yellow"/>
        </w:rPr>
        <w:t>İman</w:t>
      </w:r>
      <w:r w:rsidRPr="005079BE">
        <w:rPr>
          <w:rFonts w:ascii="Calibri" w:hAnsi="Calibri" w:cs="Calibri"/>
          <w:i/>
          <w:iCs/>
          <w:sz w:val="24"/>
          <w:szCs w:val="24"/>
        </w:rPr>
        <w:t xml:space="preserve"> Derlemeleri ve İslam Prensipleri Ansiklopedisi </w:t>
      </w:r>
      <w:r w:rsidRPr="005079BE">
        <w:rPr>
          <w:rFonts w:ascii="Calibri" w:hAnsi="Calibri" w:cs="Calibri"/>
          <w:i/>
          <w:iCs/>
          <w:sz w:val="24"/>
          <w:szCs w:val="24"/>
          <w:highlight w:val="yellow"/>
        </w:rPr>
        <w:t>Allah</w:t>
      </w:r>
      <w:r w:rsidRPr="005079BE">
        <w:rPr>
          <w:rFonts w:ascii="Calibri" w:hAnsi="Calibri" w:cs="Calibri"/>
          <w:i/>
          <w:iCs/>
          <w:sz w:val="24"/>
          <w:szCs w:val="24"/>
        </w:rPr>
        <w:t xml:space="preserve"> ve </w:t>
      </w:r>
      <w:r w:rsidRPr="005079BE">
        <w:rPr>
          <w:rFonts w:ascii="Calibri" w:hAnsi="Calibri" w:cs="Calibri"/>
          <w:i/>
          <w:iCs/>
          <w:sz w:val="24"/>
          <w:szCs w:val="24"/>
          <w:highlight w:val="yellow"/>
        </w:rPr>
        <w:t>Tevhid</w:t>
      </w:r>
      <w:r w:rsidRPr="005079BE">
        <w:rPr>
          <w:rFonts w:ascii="Calibri" w:hAnsi="Calibri" w:cs="Calibri"/>
          <w:i/>
          <w:iCs/>
          <w:sz w:val="24"/>
          <w:szCs w:val="24"/>
        </w:rPr>
        <w:t xml:space="preserve"> Maddesi)</w:t>
      </w:r>
    </w:p>
  </w:footnote>
  <w:footnote w:id="10">
    <w:p w:rsidR="005079BE" w:rsidRDefault="005079BE" w:rsidP="005079BE">
      <w:pPr>
        <w:pStyle w:val="FootnoteText"/>
        <w:spacing w:before="120"/>
        <w:jc w:val="both"/>
      </w:pPr>
      <w:r>
        <w:rPr>
          <w:rStyle w:val="FootnoteReference"/>
        </w:rPr>
        <w:footnoteRef/>
      </w:r>
      <w:r>
        <w:t xml:space="preserve"> </w:t>
      </w:r>
      <w:r w:rsidRPr="00760515">
        <w:rPr>
          <w:rFonts w:ascii="Calibri" w:hAnsi="Calibri" w:cs="Calibri"/>
          <w:i/>
          <w:iCs/>
          <w:sz w:val="24"/>
          <w:szCs w:val="24"/>
        </w:rPr>
        <w:t xml:space="preserve">(Bakınız: </w:t>
      </w:r>
      <w:r w:rsidRPr="005079BE">
        <w:rPr>
          <w:rFonts w:ascii="Calibri" w:hAnsi="Calibri" w:cs="Calibri"/>
          <w:i/>
          <w:iCs/>
          <w:sz w:val="24"/>
          <w:szCs w:val="24"/>
          <w:highlight w:val="yellow"/>
        </w:rPr>
        <w:t>Ene ve Enaniyet</w:t>
      </w:r>
      <w:r>
        <w:rPr>
          <w:rFonts w:ascii="Calibri" w:hAnsi="Calibri" w:cs="Calibri"/>
          <w:i/>
          <w:iCs/>
          <w:sz w:val="24"/>
          <w:szCs w:val="24"/>
        </w:rPr>
        <w:t xml:space="preserve"> </w:t>
      </w:r>
      <w:r w:rsidRPr="00760515">
        <w:rPr>
          <w:rFonts w:ascii="Calibri" w:hAnsi="Calibri" w:cs="Calibri"/>
          <w:i/>
          <w:iCs/>
          <w:sz w:val="24"/>
          <w:szCs w:val="24"/>
        </w:rPr>
        <w:t>ve</w:t>
      </w:r>
      <w:r>
        <w:rPr>
          <w:rFonts w:ascii="Calibri" w:hAnsi="Calibri" w:cs="Calibri"/>
          <w:i/>
          <w:iCs/>
          <w:sz w:val="24"/>
          <w:szCs w:val="24"/>
        </w:rPr>
        <w:t xml:space="preserve"> </w:t>
      </w:r>
      <w:r w:rsidRPr="005079BE">
        <w:rPr>
          <w:rFonts w:ascii="Calibri" w:hAnsi="Calibri" w:cs="Calibri"/>
          <w:i/>
          <w:iCs/>
          <w:sz w:val="24"/>
          <w:szCs w:val="24"/>
          <w:highlight w:val="yellow"/>
        </w:rPr>
        <w:t>30. Sözün Tahşiyesi</w:t>
      </w:r>
      <w:r w:rsidRPr="00760515">
        <w:rPr>
          <w:rFonts w:ascii="Calibri" w:hAnsi="Calibri" w:cs="Calibri"/>
          <w:i/>
          <w:iCs/>
          <w:sz w:val="24"/>
          <w:szCs w:val="24"/>
        </w:rPr>
        <w:t xml:space="preserve"> Derlemeleri)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D72A8"/>
    <w:rsid w:val="00056CB6"/>
    <w:rsid w:val="001F1BC9"/>
    <w:rsid w:val="002A0A25"/>
    <w:rsid w:val="005079BE"/>
    <w:rsid w:val="006456FA"/>
    <w:rsid w:val="00682816"/>
    <w:rsid w:val="0069323D"/>
    <w:rsid w:val="00760515"/>
    <w:rsid w:val="009D73D1"/>
    <w:rsid w:val="00AD72A8"/>
    <w:rsid w:val="00DD717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AD72A8"/>
    <w:rPr>
      <w:vertAlign w:val="superscript"/>
    </w:rPr>
  </w:style>
  <w:style w:type="character" w:customStyle="1" w:styleId="DipnotKarakterleri">
    <w:name w:val="Dipnot Karakterleri"/>
    <w:qFormat/>
    <w:rsid w:val="00AD72A8"/>
  </w:style>
  <w:style w:type="paragraph" w:customStyle="1" w:styleId="Footnote">
    <w:name w:val="Footnote"/>
    <w:basedOn w:val="Normal"/>
    <w:qFormat/>
    <w:rsid w:val="00AD72A8"/>
    <w:pPr>
      <w:suppressLineNumbers/>
      <w:spacing w:after="0" w:line="240" w:lineRule="auto"/>
      <w:ind w:left="339" w:hanging="339"/>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semiHidden/>
    <w:unhideWhenUsed/>
    <w:rsid w:val="00AD7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2A8"/>
    <w:rPr>
      <w:sz w:val="20"/>
      <w:szCs w:val="20"/>
    </w:rPr>
  </w:style>
  <w:style w:type="character" w:styleId="FootnoteReference">
    <w:name w:val="footnote reference"/>
    <w:basedOn w:val="DefaultParagraphFont"/>
    <w:uiPriority w:val="99"/>
    <w:semiHidden/>
    <w:unhideWhenUsed/>
    <w:rsid w:val="00AD72A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D6F6-D207-4D02-A87E-86CF91C9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3</cp:revision>
  <dcterms:created xsi:type="dcterms:W3CDTF">2023-12-15T16:49:00Z</dcterms:created>
  <dcterms:modified xsi:type="dcterms:W3CDTF">2023-12-15T18:27:00Z</dcterms:modified>
</cp:coreProperties>
</file>